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tet</w:t>
      </w:r>
      <w:r>
        <w:rPr>
          <w:rStyle w:val="a0"/>
          <w:rFonts w:ascii="微软雅黑" w:hAnsi="微软雅黑"/>
          <w:b w:val="0"/>
          <w:sz w:val="21"/>
        </w:rPr>
        <w:t xml:space="preserve"> </w:t>
      </w:r>
      <w:r>
        <w:rPr>
          <w:rStyle w:val="a0"/>
          <w:rFonts w:ascii="微软雅黑" w:hAnsi="微软雅黑"/>
          <w:b w:val="0"/>
          <w:sz w:val="21"/>
        </w:rPr>
        <w:t>0.20050108</w:t>
      </w:r>
    </w:p>
    <w:p>
      <w:pPr/>
      <w:r>
        <w:rPr>
          <w:rStyle w:val="a0"/>
          <w:rFonts w:ascii="Arial" w:hAnsi="Arial"/>
          <w:b/>
        </w:rPr>
        <w:t xml:space="preserve">Copyright notice: </w:t>
      </w:r>
    </w:p>
    <w:p>
      <w:pPr/>
      <w:r>
        <w:rPr>
          <w:rStyle w:val="a0"/>
          <w:rFonts w:ascii="宋体" w:hAnsi="宋体"/>
          <w:sz w:val="22"/>
        </w:rPr>
        <w:t>Copyright 2004 Peter Gossner &lt;gossner@arcom.com.au&gt;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